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5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ев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2021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мая</w:t>
      </w:r>
      <w:r>
        <w:rPr>
          <w:rFonts w:cs="Times New Roman" w:ascii="Times New Roman" w:hAnsi="Times New Roman"/>
          <w:sz w:val="28"/>
          <w:szCs w:val="28"/>
        </w:rPr>
        <w:t xml:space="preserve"> 2021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81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 получили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сумму 2</w:t>
      </w:r>
      <w:r>
        <w:rPr>
          <w:rFonts w:cs="Times New Roman" w:ascii="Times New Roman" w:hAnsi="Times New Roman"/>
          <w:sz w:val="28"/>
          <w:szCs w:val="28"/>
        </w:rPr>
        <w:t>45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выплачено 3 семьям на общую сумму 90,0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текущий месяц размещено 5 рекламно-информационных материала, в том числе в информационно-телекоммуникационной сети «Интернет» и в СМИ опубликовано 4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LibreOffice/6.4.4.2$Linux_X86_64 LibreOffice_project/40$Build-2</Application>
  <Pages>1</Pages>
  <Words>176</Words>
  <Characters>1293</Characters>
  <CharactersWithSpaces>1462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2021-04-26T16:42:14Z</cp:lastPrinted>
  <dcterms:modified xsi:type="dcterms:W3CDTF">2021-05-25T15:36:44Z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